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5DE0" w14:textId="54B0E2AF" w:rsidR="00855139" w:rsidRPr="001D4118" w:rsidRDefault="00A95838" w:rsidP="0099029B">
      <w:pPr>
        <w:pStyle w:val="NormalWeb"/>
        <w:spacing w:before="264" w:beforeAutospacing="0" w:after="264" w:afterAutospacing="0"/>
        <w:rPr>
          <w:b/>
          <w:bCs/>
          <w:color w:val="212121"/>
          <w:sz w:val="28"/>
          <w:szCs w:val="28"/>
          <w:shd w:val="clear" w:color="auto" w:fill="FFFFFF"/>
        </w:rPr>
      </w:pPr>
      <w:r>
        <w:t xml:space="preserve"> </w:t>
      </w:r>
    </w:p>
    <w:p w14:paraId="59CE88F0" w14:textId="47BC6152" w:rsidR="001C3EE1" w:rsidRPr="001D4118" w:rsidRDefault="00205D1B" w:rsidP="0099029B">
      <w:pPr>
        <w:pStyle w:val="NormalWeb"/>
        <w:spacing w:before="264" w:beforeAutospacing="0" w:after="264" w:afterAutospacing="0"/>
        <w:rPr>
          <w:b/>
          <w:bCs/>
          <w:color w:val="212121"/>
          <w:sz w:val="28"/>
          <w:szCs w:val="28"/>
          <w:shd w:val="clear" w:color="auto" w:fill="FFFFFF"/>
        </w:rPr>
      </w:pPr>
      <w:r w:rsidRPr="00FB0DFB">
        <w:rPr>
          <w:b/>
          <w:bCs/>
          <w:color w:val="212121"/>
          <w:shd w:val="clear" w:color="auto" w:fill="FFFFFF"/>
        </w:rPr>
        <w:t>Abstract:</w:t>
      </w:r>
      <w:r w:rsidR="00F57FD1" w:rsidRPr="001D4118">
        <w:rPr>
          <w:b/>
          <w:bCs/>
          <w:color w:val="212121"/>
          <w:sz w:val="28"/>
          <w:szCs w:val="28"/>
          <w:shd w:val="clear" w:color="auto" w:fill="FFFFFF"/>
        </w:rPr>
        <w:t xml:space="preserve"> </w:t>
      </w:r>
      <w:r w:rsidR="000678AE" w:rsidRPr="001C45D4">
        <w:rPr>
          <w:b/>
          <w:bCs/>
          <w:color w:val="212121"/>
          <w:sz w:val="28"/>
          <w:szCs w:val="28"/>
          <w:shd w:val="clear" w:color="auto" w:fill="FFFFFF"/>
        </w:rPr>
        <w:t xml:space="preserve">  </w:t>
      </w:r>
      <w:r w:rsidR="00F402D9" w:rsidRPr="001D4118">
        <w:rPr>
          <w:color w:val="212121"/>
          <w:shd w:val="clear" w:color="auto" w:fill="FFFFFF"/>
        </w:rPr>
        <w:t>Many people want to make gifts</w:t>
      </w:r>
      <w:r w:rsidR="00B3094A" w:rsidRPr="001D4118">
        <w:rPr>
          <w:color w:val="212121"/>
          <w:shd w:val="clear" w:color="auto" w:fill="FFFFFF"/>
        </w:rPr>
        <w:t xml:space="preserve"> of cash and stocks</w:t>
      </w:r>
      <w:r w:rsidR="00535BD9" w:rsidRPr="001D4118">
        <w:rPr>
          <w:color w:val="212121"/>
          <w:shd w:val="clear" w:color="auto" w:fill="FFFFFF"/>
        </w:rPr>
        <w:t xml:space="preserve"> t</w:t>
      </w:r>
      <w:r w:rsidR="00AE4982" w:rsidRPr="001D4118">
        <w:rPr>
          <w:color w:val="212121"/>
          <w:shd w:val="clear" w:color="auto" w:fill="FFFFFF"/>
        </w:rPr>
        <w:t>o loved one</w:t>
      </w:r>
      <w:r w:rsidR="00565E50" w:rsidRPr="001D4118">
        <w:rPr>
          <w:color w:val="212121"/>
          <w:shd w:val="clear" w:color="auto" w:fill="FFFFFF"/>
        </w:rPr>
        <w:t>s</w:t>
      </w:r>
      <w:r w:rsidR="00AE4982" w:rsidRPr="001D4118">
        <w:rPr>
          <w:color w:val="212121"/>
          <w:shd w:val="clear" w:color="auto" w:fill="FFFFFF"/>
        </w:rPr>
        <w:t xml:space="preserve"> </w:t>
      </w:r>
      <w:r w:rsidR="00565E50" w:rsidRPr="001D4118">
        <w:rPr>
          <w:color w:val="212121"/>
          <w:shd w:val="clear" w:color="auto" w:fill="FFFFFF"/>
        </w:rPr>
        <w:t>during</w:t>
      </w:r>
      <w:r w:rsidR="00AE4982" w:rsidRPr="001D4118">
        <w:rPr>
          <w:color w:val="212121"/>
          <w:shd w:val="clear" w:color="auto" w:fill="FFFFFF"/>
        </w:rPr>
        <w:t xml:space="preserve"> the holidays and </w:t>
      </w:r>
      <w:r w:rsidR="00B3094A" w:rsidRPr="001D4118">
        <w:rPr>
          <w:color w:val="212121"/>
          <w:shd w:val="clear" w:color="auto" w:fill="FFFFFF"/>
        </w:rPr>
        <w:t>at year-end.</w:t>
      </w:r>
      <w:r w:rsidR="00AE4982" w:rsidRPr="001D4118">
        <w:rPr>
          <w:color w:val="212121"/>
          <w:shd w:val="clear" w:color="auto" w:fill="FFFFFF"/>
        </w:rPr>
        <w:t xml:space="preserve"> If properly used</w:t>
      </w:r>
      <w:r w:rsidR="00CD047C" w:rsidRPr="001D4118">
        <w:rPr>
          <w:color w:val="212121"/>
          <w:shd w:val="clear" w:color="auto" w:fill="FFFFFF"/>
        </w:rPr>
        <w:t xml:space="preserve">, the </w:t>
      </w:r>
      <w:r w:rsidR="002F6146" w:rsidRPr="001D4118">
        <w:rPr>
          <w:color w:val="212121"/>
          <w:shd w:val="clear" w:color="auto" w:fill="FFFFFF"/>
        </w:rPr>
        <w:t>a</w:t>
      </w:r>
      <w:r w:rsidR="00CD047C" w:rsidRPr="001D4118">
        <w:rPr>
          <w:color w:val="212121"/>
          <w:shd w:val="clear" w:color="auto" w:fill="FFFFFF"/>
        </w:rPr>
        <w:t xml:space="preserve">nnual exclusion </w:t>
      </w:r>
      <w:r w:rsidR="0027642D" w:rsidRPr="001D4118">
        <w:rPr>
          <w:color w:val="212121"/>
          <w:shd w:val="clear" w:color="auto" w:fill="FFFFFF"/>
        </w:rPr>
        <w:t xml:space="preserve">allows you to give to </w:t>
      </w:r>
      <w:r w:rsidR="001C3EE1" w:rsidRPr="001D4118">
        <w:rPr>
          <w:color w:val="212121"/>
          <w:shd w:val="clear" w:color="auto" w:fill="FFFFFF"/>
        </w:rPr>
        <w:t xml:space="preserve">family members and loved ones </w:t>
      </w:r>
      <w:r w:rsidR="000329F3" w:rsidRPr="001D4118">
        <w:rPr>
          <w:color w:val="212121"/>
          <w:shd w:val="clear" w:color="auto" w:fill="FFFFFF"/>
        </w:rPr>
        <w:t>and</w:t>
      </w:r>
      <w:r w:rsidR="001C3EE1" w:rsidRPr="001D4118">
        <w:rPr>
          <w:color w:val="212121"/>
          <w:shd w:val="clear" w:color="auto" w:fill="FFFFFF"/>
        </w:rPr>
        <w:t xml:space="preserve"> reduce the size of </w:t>
      </w:r>
      <w:r w:rsidR="000329F3" w:rsidRPr="001D4118">
        <w:rPr>
          <w:color w:val="212121"/>
          <w:shd w:val="clear" w:color="auto" w:fill="FFFFFF"/>
        </w:rPr>
        <w:t>your</w:t>
      </w:r>
      <w:r w:rsidR="00C8571B" w:rsidRPr="001D4118">
        <w:rPr>
          <w:color w:val="212121"/>
          <w:shd w:val="clear" w:color="auto" w:fill="FFFFFF"/>
        </w:rPr>
        <w:t xml:space="preserve"> </w:t>
      </w:r>
      <w:r w:rsidR="001C3EE1" w:rsidRPr="001D4118">
        <w:rPr>
          <w:color w:val="212121"/>
          <w:shd w:val="clear" w:color="auto" w:fill="FFFFFF"/>
        </w:rPr>
        <w:t xml:space="preserve">taxable estate, within limits. </w:t>
      </w:r>
      <w:r w:rsidR="00503891" w:rsidRPr="001D4118">
        <w:rPr>
          <w:color w:val="212121"/>
          <w:shd w:val="clear" w:color="auto" w:fill="FFFFFF"/>
        </w:rPr>
        <w:t xml:space="preserve">This article </w:t>
      </w:r>
      <w:r w:rsidR="000329F3" w:rsidRPr="001D4118">
        <w:rPr>
          <w:color w:val="212121"/>
          <w:shd w:val="clear" w:color="auto" w:fill="FFFFFF"/>
        </w:rPr>
        <w:t>provides</w:t>
      </w:r>
      <w:r w:rsidR="00503891" w:rsidRPr="001D4118">
        <w:rPr>
          <w:color w:val="212121"/>
          <w:shd w:val="clear" w:color="auto" w:fill="FFFFFF"/>
        </w:rPr>
        <w:t xml:space="preserve"> details. </w:t>
      </w:r>
    </w:p>
    <w:p w14:paraId="346FDE04" w14:textId="2A4E0A17" w:rsidR="0099029B" w:rsidRPr="001D4118" w:rsidRDefault="00A87786" w:rsidP="0099029B">
      <w:pPr>
        <w:pStyle w:val="NormalWeb"/>
        <w:spacing w:before="264" w:beforeAutospacing="0" w:after="264" w:afterAutospacing="0"/>
        <w:rPr>
          <w:color w:val="252525"/>
          <w:sz w:val="28"/>
          <w:szCs w:val="28"/>
        </w:rPr>
      </w:pPr>
      <w:r w:rsidRPr="001D4118">
        <w:rPr>
          <w:b/>
          <w:bCs/>
          <w:color w:val="212121"/>
          <w:sz w:val="28"/>
          <w:szCs w:val="28"/>
          <w:shd w:val="clear" w:color="auto" w:fill="FFFFFF"/>
        </w:rPr>
        <w:t>Y</w:t>
      </w:r>
      <w:r w:rsidR="0025172B" w:rsidRPr="001D4118">
        <w:rPr>
          <w:b/>
          <w:bCs/>
          <w:color w:val="212121"/>
          <w:sz w:val="28"/>
          <w:szCs w:val="28"/>
          <w:shd w:val="clear" w:color="auto" w:fill="FFFFFF"/>
        </w:rPr>
        <w:t xml:space="preserve">ear-end gifts </w:t>
      </w:r>
      <w:r w:rsidRPr="001D4118">
        <w:rPr>
          <w:b/>
          <w:bCs/>
          <w:color w:val="212121"/>
          <w:sz w:val="28"/>
          <w:szCs w:val="28"/>
          <w:shd w:val="clear" w:color="auto" w:fill="FFFFFF"/>
        </w:rPr>
        <w:t>and</w:t>
      </w:r>
      <w:r w:rsidR="0025172B" w:rsidRPr="001D4118">
        <w:rPr>
          <w:b/>
          <w:bCs/>
          <w:color w:val="212121"/>
          <w:sz w:val="28"/>
          <w:szCs w:val="28"/>
          <w:shd w:val="clear" w:color="auto" w:fill="FFFFFF"/>
        </w:rPr>
        <w:t xml:space="preserve"> t</w:t>
      </w:r>
      <w:r w:rsidR="0099029B" w:rsidRPr="001D4118">
        <w:rPr>
          <w:b/>
          <w:bCs/>
          <w:color w:val="212121"/>
          <w:sz w:val="28"/>
          <w:szCs w:val="28"/>
          <w:shd w:val="clear" w:color="auto" w:fill="FFFFFF"/>
        </w:rPr>
        <w:t>he gift tax annual exclusion</w:t>
      </w:r>
    </w:p>
    <w:p w14:paraId="23FF06A7" w14:textId="217E1EFE" w:rsidR="0099029B" w:rsidRPr="001D4118" w:rsidRDefault="007E778F" w:rsidP="003A748A">
      <w:pPr>
        <w:pStyle w:val="NormalWeb"/>
        <w:spacing w:before="264" w:beforeAutospacing="0" w:after="264" w:afterAutospacing="0"/>
        <w:rPr>
          <w:rStyle w:val="Strong"/>
          <w:b w:val="0"/>
          <w:bCs w:val="0"/>
        </w:rPr>
      </w:pPr>
      <w:r w:rsidRPr="001D4118">
        <w:rPr>
          <w:rStyle w:val="Strong"/>
          <w:b w:val="0"/>
          <w:bCs w:val="0"/>
        </w:rPr>
        <w:t xml:space="preserve">With the holidays and year-end approaching, </w:t>
      </w:r>
      <w:r w:rsidR="00834A99" w:rsidRPr="001D4118">
        <w:rPr>
          <w:rStyle w:val="Strong"/>
          <w:b w:val="0"/>
          <w:bCs w:val="0"/>
        </w:rPr>
        <w:t xml:space="preserve">you might be considering </w:t>
      </w:r>
      <w:r w:rsidR="00160F7B" w:rsidRPr="001D4118">
        <w:rPr>
          <w:rStyle w:val="Strong"/>
          <w:b w:val="0"/>
          <w:bCs w:val="0"/>
        </w:rPr>
        <w:t>making gifts of stock or cash to family</w:t>
      </w:r>
      <w:r w:rsidR="000B276A" w:rsidRPr="001D4118">
        <w:rPr>
          <w:rStyle w:val="Strong"/>
          <w:b w:val="0"/>
          <w:bCs w:val="0"/>
        </w:rPr>
        <w:t xml:space="preserve"> members</w:t>
      </w:r>
      <w:r w:rsidR="00160F7B" w:rsidRPr="001D4118">
        <w:rPr>
          <w:rStyle w:val="Strong"/>
          <w:b w:val="0"/>
          <w:bCs w:val="0"/>
        </w:rPr>
        <w:t xml:space="preserve"> and loved ones.</w:t>
      </w:r>
      <w:r w:rsidR="00721827" w:rsidRPr="001D4118">
        <w:rPr>
          <w:rStyle w:val="Strong"/>
          <w:b w:val="0"/>
          <w:bCs w:val="0"/>
        </w:rPr>
        <w:t xml:space="preserve"> By using your annual exclusion, those gifts </w:t>
      </w:r>
      <w:r w:rsidR="00646774" w:rsidRPr="001D4118">
        <w:rPr>
          <w:rStyle w:val="Strong"/>
          <w:b w:val="0"/>
          <w:bCs w:val="0"/>
        </w:rPr>
        <w:t xml:space="preserve">— within generous limits — </w:t>
      </w:r>
      <w:r w:rsidR="00721827" w:rsidRPr="001D4118">
        <w:rPr>
          <w:rStyle w:val="Strong"/>
          <w:b w:val="0"/>
          <w:bCs w:val="0"/>
        </w:rPr>
        <w:t>can reduce the size of your taxable estate</w:t>
      </w:r>
      <w:r w:rsidR="00EF29D0" w:rsidRPr="001D4118">
        <w:rPr>
          <w:rStyle w:val="Strong"/>
          <w:b w:val="0"/>
          <w:bCs w:val="0"/>
        </w:rPr>
        <w:t>.</w:t>
      </w:r>
      <w:r w:rsidR="00111018" w:rsidRPr="001D4118">
        <w:rPr>
          <w:rStyle w:val="Strong"/>
          <w:b w:val="0"/>
          <w:bCs w:val="0"/>
        </w:rPr>
        <w:t xml:space="preserve"> </w:t>
      </w:r>
      <w:r w:rsidR="00646774" w:rsidRPr="001D4118">
        <w:rPr>
          <w:rStyle w:val="Strong"/>
          <w:b w:val="0"/>
          <w:bCs w:val="0"/>
        </w:rPr>
        <w:t xml:space="preserve">For 2022, the </w:t>
      </w:r>
      <w:r w:rsidR="00B5522A" w:rsidRPr="001D4118">
        <w:rPr>
          <w:rStyle w:val="Strong"/>
          <w:b w:val="0"/>
          <w:bCs w:val="0"/>
        </w:rPr>
        <w:t xml:space="preserve">annual gift </w:t>
      </w:r>
      <w:r w:rsidR="003A748A" w:rsidRPr="001D4118">
        <w:rPr>
          <w:rStyle w:val="Strong"/>
          <w:b w:val="0"/>
          <w:bCs w:val="0"/>
        </w:rPr>
        <w:t xml:space="preserve">exclusion is $16,000.  </w:t>
      </w:r>
    </w:p>
    <w:p w14:paraId="7E77E853" w14:textId="1EB4C2EF" w:rsidR="00641D7E" w:rsidRPr="001D4118" w:rsidRDefault="004E268A" w:rsidP="0099029B">
      <w:pPr>
        <w:pStyle w:val="NormalWeb"/>
        <w:spacing w:before="264" w:beforeAutospacing="0" w:after="264" w:afterAutospacing="0"/>
        <w:rPr>
          <w:color w:val="252525"/>
        </w:rPr>
      </w:pPr>
      <w:r w:rsidRPr="001D4118">
        <w:rPr>
          <w:color w:val="252525"/>
        </w:rPr>
        <w:t>T</w:t>
      </w:r>
      <w:r w:rsidR="0099029B" w:rsidRPr="001D4118">
        <w:rPr>
          <w:color w:val="252525"/>
        </w:rPr>
        <w:t>h</w:t>
      </w:r>
      <w:r w:rsidR="00443A29" w:rsidRPr="001D4118">
        <w:rPr>
          <w:color w:val="252525"/>
        </w:rPr>
        <w:t>is</w:t>
      </w:r>
      <w:r w:rsidR="0099029B" w:rsidRPr="001D4118">
        <w:rPr>
          <w:color w:val="252525"/>
        </w:rPr>
        <w:t xml:space="preserve"> covers gifts </w:t>
      </w:r>
      <w:r w:rsidR="00641D7E" w:rsidRPr="001D4118">
        <w:rPr>
          <w:color w:val="252525"/>
        </w:rPr>
        <w:t>you</w:t>
      </w:r>
      <w:r w:rsidR="0099029B" w:rsidRPr="001D4118">
        <w:rPr>
          <w:color w:val="252525"/>
        </w:rPr>
        <w:t xml:space="preserve"> make </w:t>
      </w:r>
      <w:r w:rsidR="0099029B" w:rsidRPr="00F03DAD">
        <w:rPr>
          <w:rStyle w:val="c-doc-para-italic"/>
          <w:i/>
          <w:iCs/>
          <w:color w:val="252525"/>
        </w:rPr>
        <w:t xml:space="preserve">to each </w:t>
      </w:r>
      <w:r w:rsidR="00004613" w:rsidRPr="00F03DAD">
        <w:rPr>
          <w:rStyle w:val="c-doc-para-italic"/>
          <w:i/>
          <w:iCs/>
          <w:color w:val="252525"/>
        </w:rPr>
        <w:t>recipient</w:t>
      </w:r>
      <w:r w:rsidR="0099029B" w:rsidRPr="00F03DAD">
        <w:rPr>
          <w:rStyle w:val="c-doc-para-italic"/>
          <w:i/>
          <w:iCs/>
          <w:color w:val="252525"/>
        </w:rPr>
        <w:t xml:space="preserve"> each year</w:t>
      </w:r>
      <w:r w:rsidR="0099029B" w:rsidRPr="001D4118">
        <w:rPr>
          <w:rStyle w:val="c-doc-para-italic"/>
          <w:i/>
          <w:iCs/>
          <w:color w:val="252525"/>
        </w:rPr>
        <w:t>.</w:t>
      </w:r>
      <w:r w:rsidR="0099029B" w:rsidRPr="001D4118">
        <w:rPr>
          <w:color w:val="252525"/>
        </w:rPr>
        <w:t> Th</w:t>
      </w:r>
      <w:r w:rsidR="00641D7E" w:rsidRPr="001D4118">
        <w:rPr>
          <w:color w:val="252525"/>
        </w:rPr>
        <w:t>erefore</w:t>
      </w:r>
      <w:r w:rsidR="0099029B" w:rsidRPr="001D4118">
        <w:rPr>
          <w:color w:val="252525"/>
        </w:rPr>
        <w:t>, a taxpayer with three children can transfer</w:t>
      </w:r>
      <w:r w:rsidR="00A849AF" w:rsidRPr="001D4118">
        <w:rPr>
          <w:color w:val="252525"/>
        </w:rPr>
        <w:t xml:space="preserve"> </w:t>
      </w:r>
      <w:r w:rsidR="004A22BE" w:rsidRPr="001D4118">
        <w:rPr>
          <w:color w:val="252525"/>
        </w:rPr>
        <w:t xml:space="preserve">a total of </w:t>
      </w:r>
      <w:r w:rsidR="0099029B" w:rsidRPr="001D4118">
        <w:rPr>
          <w:color w:val="252525"/>
        </w:rPr>
        <w:t>$4</w:t>
      </w:r>
      <w:r w:rsidRPr="001D4118">
        <w:rPr>
          <w:color w:val="252525"/>
        </w:rPr>
        <w:t>8</w:t>
      </w:r>
      <w:r w:rsidR="0099029B" w:rsidRPr="001D4118">
        <w:rPr>
          <w:color w:val="252525"/>
        </w:rPr>
        <w:t>,000 to</w:t>
      </w:r>
      <w:r w:rsidR="00321C6E" w:rsidRPr="001D4118">
        <w:rPr>
          <w:color w:val="252525"/>
        </w:rPr>
        <w:t xml:space="preserve"> the</w:t>
      </w:r>
      <w:r w:rsidR="00230B53" w:rsidRPr="001D4118">
        <w:rPr>
          <w:color w:val="252525"/>
        </w:rPr>
        <w:t>m</w:t>
      </w:r>
      <w:r w:rsidR="0099029B" w:rsidRPr="001D4118">
        <w:rPr>
          <w:color w:val="252525"/>
        </w:rPr>
        <w:t xml:space="preserve"> every year free of federal gift taxes. If</w:t>
      </w:r>
      <w:r w:rsidR="00A849AF" w:rsidRPr="001D4118">
        <w:rPr>
          <w:color w:val="252525"/>
        </w:rPr>
        <w:t xml:space="preserve"> </w:t>
      </w:r>
      <w:r w:rsidR="00CB712D" w:rsidRPr="001D4118">
        <w:rPr>
          <w:color w:val="252525"/>
        </w:rPr>
        <w:t>these are the only</w:t>
      </w:r>
      <w:r w:rsidR="00A849AF" w:rsidRPr="001D4118">
        <w:rPr>
          <w:color w:val="252525"/>
        </w:rPr>
        <w:t xml:space="preserve"> gifts </w:t>
      </w:r>
      <w:r w:rsidR="0099029B" w:rsidRPr="001D4118">
        <w:rPr>
          <w:color w:val="252525"/>
        </w:rPr>
        <w:t xml:space="preserve">made </w:t>
      </w:r>
      <w:r w:rsidR="003073D6" w:rsidRPr="001D4118">
        <w:rPr>
          <w:color w:val="252525"/>
        </w:rPr>
        <w:t xml:space="preserve">in </w:t>
      </w:r>
      <w:r w:rsidR="0099029B" w:rsidRPr="001D4118">
        <w:rPr>
          <w:color w:val="252525"/>
        </w:rPr>
        <w:t>a year</w:t>
      </w:r>
      <w:r w:rsidR="00A849AF" w:rsidRPr="001D4118">
        <w:rPr>
          <w:color w:val="252525"/>
        </w:rPr>
        <w:t>,</w:t>
      </w:r>
      <w:r w:rsidR="0099029B" w:rsidRPr="001D4118">
        <w:rPr>
          <w:color w:val="252525"/>
        </w:rPr>
        <w:t xml:space="preserve"> there</w:t>
      </w:r>
      <w:r w:rsidR="00641D7E" w:rsidRPr="001D4118">
        <w:rPr>
          <w:color w:val="252525"/>
        </w:rPr>
        <w:t>’</w:t>
      </w:r>
      <w:r w:rsidR="0099029B" w:rsidRPr="001D4118">
        <w:rPr>
          <w:color w:val="252525"/>
        </w:rPr>
        <w:t xml:space="preserve">s no need to file a federal gift tax return. If </w:t>
      </w:r>
      <w:r w:rsidR="006F0CB6" w:rsidRPr="001D4118">
        <w:rPr>
          <w:color w:val="252525"/>
        </w:rPr>
        <w:t xml:space="preserve">an </w:t>
      </w:r>
      <w:r w:rsidR="0099029B" w:rsidRPr="001D4118">
        <w:rPr>
          <w:color w:val="252525"/>
        </w:rPr>
        <w:t>annual gift exceed</w:t>
      </w:r>
      <w:r w:rsidR="006F0CB6" w:rsidRPr="001D4118">
        <w:rPr>
          <w:color w:val="252525"/>
        </w:rPr>
        <w:t>s</w:t>
      </w:r>
      <w:r w:rsidR="0099029B" w:rsidRPr="001D4118">
        <w:rPr>
          <w:color w:val="252525"/>
        </w:rPr>
        <w:t xml:space="preserve"> $1</w:t>
      </w:r>
      <w:r w:rsidR="0062335A" w:rsidRPr="001D4118">
        <w:rPr>
          <w:color w:val="252525"/>
        </w:rPr>
        <w:t>6</w:t>
      </w:r>
      <w:r w:rsidR="0099029B" w:rsidRPr="001D4118">
        <w:rPr>
          <w:color w:val="252525"/>
        </w:rPr>
        <w:t>,000</w:t>
      </w:r>
      <w:r w:rsidR="00B5522A" w:rsidRPr="001D4118">
        <w:rPr>
          <w:color w:val="252525"/>
        </w:rPr>
        <w:t xml:space="preserve"> per person</w:t>
      </w:r>
      <w:r w:rsidR="0099029B" w:rsidRPr="001D4118">
        <w:rPr>
          <w:color w:val="252525"/>
        </w:rPr>
        <w:t xml:space="preserve">, </w:t>
      </w:r>
      <w:r w:rsidR="00471B92" w:rsidRPr="001D4118">
        <w:rPr>
          <w:color w:val="252525"/>
        </w:rPr>
        <w:t xml:space="preserve">only the </w:t>
      </w:r>
      <w:r w:rsidR="009D7911" w:rsidRPr="001D4118">
        <w:rPr>
          <w:color w:val="252525"/>
        </w:rPr>
        <w:t>amount that exceeds</w:t>
      </w:r>
      <w:r w:rsidR="0099029B" w:rsidRPr="001D4118">
        <w:rPr>
          <w:color w:val="252525"/>
        </w:rPr>
        <w:t xml:space="preserve"> $1</w:t>
      </w:r>
      <w:r w:rsidR="0062335A" w:rsidRPr="001D4118">
        <w:rPr>
          <w:color w:val="252525"/>
        </w:rPr>
        <w:t>6</w:t>
      </w:r>
      <w:r w:rsidR="0099029B" w:rsidRPr="001D4118">
        <w:rPr>
          <w:color w:val="252525"/>
        </w:rPr>
        <w:t xml:space="preserve">,000 is </w:t>
      </w:r>
      <w:r w:rsidR="00B5522A" w:rsidRPr="001D4118">
        <w:rPr>
          <w:color w:val="252525"/>
        </w:rPr>
        <w:t xml:space="preserve">a </w:t>
      </w:r>
      <w:r w:rsidR="0099029B" w:rsidRPr="001D4118">
        <w:rPr>
          <w:color w:val="252525"/>
        </w:rPr>
        <w:t>taxable</w:t>
      </w:r>
      <w:r w:rsidR="00B5522A" w:rsidRPr="001D4118">
        <w:rPr>
          <w:color w:val="252525"/>
        </w:rPr>
        <w:t xml:space="preserve"> gift</w:t>
      </w:r>
      <w:r w:rsidR="0099029B" w:rsidRPr="001D4118">
        <w:rPr>
          <w:color w:val="252525"/>
        </w:rPr>
        <w:t xml:space="preserve">. </w:t>
      </w:r>
      <w:r w:rsidR="00860DBD" w:rsidRPr="001D4118">
        <w:rPr>
          <w:color w:val="252525"/>
        </w:rPr>
        <w:t>In addition</w:t>
      </w:r>
      <w:r w:rsidR="0099029B" w:rsidRPr="001D4118">
        <w:rPr>
          <w:color w:val="252525"/>
        </w:rPr>
        <w:t>, even taxable gifts may result in no gift tax liability thanks to the unified credit</w:t>
      </w:r>
      <w:r w:rsidR="00F03DAD">
        <w:rPr>
          <w:color w:val="252525"/>
        </w:rPr>
        <w:t>.</w:t>
      </w:r>
      <w:r w:rsidR="00723FC9" w:rsidRPr="001D4118">
        <w:rPr>
          <w:color w:val="252525"/>
        </w:rPr>
        <w:t> </w:t>
      </w:r>
    </w:p>
    <w:p w14:paraId="09AF09F1" w14:textId="69BB1619" w:rsidR="0099029B" w:rsidRPr="001D4118" w:rsidRDefault="0099029B" w:rsidP="0099029B">
      <w:pPr>
        <w:pStyle w:val="NormalWeb"/>
        <w:spacing w:before="264" w:beforeAutospacing="0" w:after="264" w:afterAutospacing="0"/>
        <w:rPr>
          <w:color w:val="252525"/>
        </w:rPr>
      </w:pPr>
      <w:r w:rsidRPr="00FB0DFB">
        <w:rPr>
          <w:color w:val="252525"/>
        </w:rPr>
        <w:t>Note</w:t>
      </w:r>
      <w:r w:rsidR="00641D7E" w:rsidRPr="00FB0DFB">
        <w:rPr>
          <w:color w:val="252525"/>
        </w:rPr>
        <w:t>:</w:t>
      </w:r>
      <w:r w:rsidR="00641D7E" w:rsidRPr="001D4118">
        <w:rPr>
          <w:color w:val="252525"/>
        </w:rPr>
        <w:t xml:space="preserve"> </w:t>
      </w:r>
      <w:r w:rsidR="006908F4" w:rsidRPr="001D4118">
        <w:rPr>
          <w:color w:val="252525"/>
        </w:rPr>
        <w:t>G</w:t>
      </w:r>
      <w:r w:rsidRPr="001D4118">
        <w:rPr>
          <w:color w:val="252525"/>
        </w:rPr>
        <w:t xml:space="preserve">ifts made to </w:t>
      </w:r>
      <w:r w:rsidR="00641D7E" w:rsidRPr="001D4118">
        <w:rPr>
          <w:color w:val="252525"/>
        </w:rPr>
        <w:t>a</w:t>
      </w:r>
      <w:r w:rsidRPr="001D4118">
        <w:rPr>
          <w:color w:val="252525"/>
        </w:rPr>
        <w:t xml:space="preserve"> spouse</w:t>
      </w:r>
      <w:r w:rsidR="00014DC7" w:rsidRPr="001D4118">
        <w:rPr>
          <w:color w:val="252525"/>
        </w:rPr>
        <w:t xml:space="preserve"> aren’t covered here, because</w:t>
      </w:r>
      <w:r w:rsidRPr="001D4118">
        <w:rPr>
          <w:color w:val="252525"/>
        </w:rPr>
        <w:t xml:space="preserve"> these gifts are </w:t>
      </w:r>
      <w:r w:rsidR="00860DBD" w:rsidRPr="001D4118">
        <w:rPr>
          <w:color w:val="252525"/>
        </w:rPr>
        <w:t xml:space="preserve">free of </w:t>
      </w:r>
      <w:r w:rsidRPr="001D4118">
        <w:rPr>
          <w:color w:val="252525"/>
        </w:rPr>
        <w:t>gift tax under separate marital deduction rules.</w:t>
      </w:r>
    </w:p>
    <w:p w14:paraId="5E7407AF" w14:textId="707D1C46" w:rsidR="00641D7E" w:rsidRPr="001D4118" w:rsidRDefault="00BC2411" w:rsidP="0099029B">
      <w:pPr>
        <w:pStyle w:val="NormalWeb"/>
        <w:spacing w:before="264" w:beforeAutospacing="0" w:after="264" w:afterAutospacing="0"/>
        <w:rPr>
          <w:color w:val="252525"/>
        </w:rPr>
      </w:pPr>
      <w:r w:rsidRPr="001D4118">
        <w:rPr>
          <w:rStyle w:val="c-doc-para-bold"/>
          <w:b/>
          <w:bCs/>
          <w:color w:val="252525"/>
        </w:rPr>
        <w:t>M</w:t>
      </w:r>
      <w:r w:rsidR="0099029B" w:rsidRPr="001D4118">
        <w:rPr>
          <w:rStyle w:val="c-doc-para-bold"/>
          <w:b/>
          <w:bCs/>
          <w:color w:val="252525"/>
        </w:rPr>
        <w:t>arried taxpayers</w:t>
      </w:r>
      <w:r w:rsidR="000B276A" w:rsidRPr="001D4118">
        <w:rPr>
          <w:rStyle w:val="c-doc-para-bold"/>
          <w:b/>
          <w:bCs/>
          <w:color w:val="252525"/>
        </w:rPr>
        <w:t xml:space="preserve"> and gift</w:t>
      </w:r>
      <w:r w:rsidR="006F6A74" w:rsidRPr="001D4118">
        <w:rPr>
          <w:rStyle w:val="c-doc-para-bold"/>
          <w:b/>
          <w:bCs/>
          <w:color w:val="252525"/>
        </w:rPr>
        <w:t xml:space="preserve"> </w:t>
      </w:r>
      <w:r w:rsidR="000B276A" w:rsidRPr="001D4118">
        <w:rPr>
          <w:rStyle w:val="c-doc-para-bold"/>
          <w:b/>
          <w:bCs/>
          <w:color w:val="252525"/>
        </w:rPr>
        <w:t>splitting</w:t>
      </w:r>
    </w:p>
    <w:p w14:paraId="1B1D0ACA" w14:textId="4C6AE655" w:rsidR="0099029B" w:rsidRPr="001D4118" w:rsidRDefault="0099029B" w:rsidP="0099029B">
      <w:pPr>
        <w:pStyle w:val="NormalWeb"/>
        <w:spacing w:before="264" w:beforeAutospacing="0" w:after="264" w:afterAutospacing="0"/>
        <w:rPr>
          <w:color w:val="252525"/>
        </w:rPr>
      </w:pPr>
      <w:r w:rsidRPr="001D4118">
        <w:rPr>
          <w:color w:val="252525"/>
        </w:rPr>
        <w:t xml:space="preserve">If </w:t>
      </w:r>
      <w:r w:rsidR="00641D7E" w:rsidRPr="001D4118">
        <w:rPr>
          <w:color w:val="252525"/>
        </w:rPr>
        <w:t>you’re</w:t>
      </w:r>
      <w:r w:rsidRPr="001D4118">
        <w:rPr>
          <w:color w:val="252525"/>
        </w:rPr>
        <w:t xml:space="preserve"> married, </w:t>
      </w:r>
      <w:r w:rsidR="0029072D" w:rsidRPr="001D4118">
        <w:rPr>
          <w:color w:val="252525"/>
        </w:rPr>
        <w:t xml:space="preserve">a </w:t>
      </w:r>
      <w:r w:rsidRPr="001D4118">
        <w:rPr>
          <w:color w:val="252525"/>
        </w:rPr>
        <w:t xml:space="preserve">gift made during a year can be treated as split between </w:t>
      </w:r>
      <w:r w:rsidR="00641D7E" w:rsidRPr="001D4118">
        <w:rPr>
          <w:color w:val="252525"/>
        </w:rPr>
        <w:t>you and your</w:t>
      </w:r>
      <w:r w:rsidRPr="001D4118">
        <w:rPr>
          <w:color w:val="252525"/>
        </w:rPr>
        <w:t xml:space="preserve"> spouse, even if only one of </w:t>
      </w:r>
      <w:r w:rsidR="00641D7E" w:rsidRPr="001D4118">
        <w:rPr>
          <w:color w:val="252525"/>
        </w:rPr>
        <w:t>you</w:t>
      </w:r>
      <w:r w:rsidR="00F3071C" w:rsidRPr="001D4118">
        <w:rPr>
          <w:color w:val="252525"/>
        </w:rPr>
        <w:t xml:space="preserve"> gives the gift</w:t>
      </w:r>
      <w:r w:rsidRPr="001D4118">
        <w:rPr>
          <w:color w:val="252525"/>
        </w:rPr>
        <w:t xml:space="preserve">. </w:t>
      </w:r>
      <w:r w:rsidR="00321006" w:rsidRPr="001D4118">
        <w:rPr>
          <w:color w:val="252525"/>
        </w:rPr>
        <w:t>That means</w:t>
      </w:r>
      <w:r w:rsidR="00DB45F9" w:rsidRPr="001D4118">
        <w:rPr>
          <w:color w:val="252525"/>
        </w:rPr>
        <w:t>,</w:t>
      </w:r>
      <w:r w:rsidR="00321006" w:rsidRPr="001D4118">
        <w:rPr>
          <w:color w:val="252525"/>
        </w:rPr>
        <w:t xml:space="preserve"> </w:t>
      </w:r>
      <w:r w:rsidR="00DB45F9" w:rsidRPr="001D4118">
        <w:rPr>
          <w:color w:val="252525"/>
        </w:rPr>
        <w:t>by gift</w:t>
      </w:r>
      <w:r w:rsidR="0065607D" w:rsidRPr="001D4118">
        <w:rPr>
          <w:color w:val="252525"/>
        </w:rPr>
        <w:t xml:space="preserve"> </w:t>
      </w:r>
      <w:r w:rsidR="00DB45F9" w:rsidRPr="001D4118">
        <w:rPr>
          <w:color w:val="252525"/>
        </w:rPr>
        <w:t xml:space="preserve">splitting, a married couple can use their two exclusions to give a recipient up to $32,000 a year. </w:t>
      </w:r>
      <w:r w:rsidRPr="001D4118">
        <w:rPr>
          <w:color w:val="252525"/>
        </w:rPr>
        <w:t xml:space="preserve"> </w:t>
      </w:r>
      <w:r w:rsidR="00641D7E" w:rsidRPr="001D4118">
        <w:rPr>
          <w:color w:val="252525"/>
        </w:rPr>
        <w:t>F</w:t>
      </w:r>
      <w:r w:rsidRPr="001D4118">
        <w:rPr>
          <w:color w:val="252525"/>
        </w:rPr>
        <w:t>or example, a married couple with three married children can transfer a total of $1</w:t>
      </w:r>
      <w:r w:rsidR="001A581C" w:rsidRPr="001D4118">
        <w:rPr>
          <w:color w:val="252525"/>
        </w:rPr>
        <w:t>92</w:t>
      </w:r>
      <w:r w:rsidRPr="001D4118">
        <w:rPr>
          <w:color w:val="252525"/>
        </w:rPr>
        <w:t>,000 each year to their children and the children's spouses ($3</w:t>
      </w:r>
      <w:r w:rsidR="009F2179" w:rsidRPr="001D4118">
        <w:rPr>
          <w:color w:val="252525"/>
        </w:rPr>
        <w:t>2</w:t>
      </w:r>
      <w:r w:rsidRPr="001D4118">
        <w:rPr>
          <w:color w:val="252525"/>
        </w:rPr>
        <w:t xml:space="preserve">,000 for each of six </w:t>
      </w:r>
      <w:r w:rsidR="00CE3C0E" w:rsidRPr="001D4118">
        <w:rPr>
          <w:color w:val="252525"/>
        </w:rPr>
        <w:t>recipients</w:t>
      </w:r>
      <w:r w:rsidRPr="001D4118">
        <w:rPr>
          <w:color w:val="252525"/>
        </w:rPr>
        <w:t>).</w:t>
      </w:r>
    </w:p>
    <w:p w14:paraId="3C84287F" w14:textId="02D4E105" w:rsidR="008F7D6E" w:rsidRPr="001D4118" w:rsidRDefault="005531FA" w:rsidP="0099029B">
      <w:pPr>
        <w:pStyle w:val="NormalWeb"/>
        <w:spacing w:before="264" w:beforeAutospacing="0" w:after="264" w:afterAutospacing="0"/>
        <w:rPr>
          <w:color w:val="252525"/>
        </w:rPr>
      </w:pPr>
      <w:r w:rsidRPr="001D4118">
        <w:rPr>
          <w:color w:val="252525"/>
        </w:rPr>
        <w:t xml:space="preserve">Because more than $16,000 is being transferred by a spouse, a gift tax return (or returns) will have to be filed, even if the $32,000 exclusion covers total gifts. </w:t>
      </w:r>
      <w:r w:rsidR="00641D7E" w:rsidRPr="001D4118">
        <w:rPr>
          <w:color w:val="252525"/>
        </w:rPr>
        <w:t>If</w:t>
      </w:r>
      <w:r w:rsidR="0099029B" w:rsidRPr="001D4118">
        <w:rPr>
          <w:color w:val="252525"/>
        </w:rPr>
        <w:t xml:space="preserve"> gift</w:t>
      </w:r>
      <w:r w:rsidR="006F6A74" w:rsidRPr="001D4118">
        <w:rPr>
          <w:color w:val="252525"/>
        </w:rPr>
        <w:t xml:space="preserve"> </w:t>
      </w:r>
      <w:r w:rsidR="0099029B" w:rsidRPr="001D4118">
        <w:rPr>
          <w:color w:val="252525"/>
        </w:rPr>
        <w:t>splitting is involved, both spouses must consent to it</w:t>
      </w:r>
      <w:r w:rsidR="006E459D" w:rsidRPr="001D4118">
        <w:rPr>
          <w:color w:val="252525"/>
        </w:rPr>
        <w:t xml:space="preserve"> </w:t>
      </w:r>
      <w:r w:rsidR="004E212B" w:rsidRPr="001D4118">
        <w:rPr>
          <w:color w:val="252525"/>
        </w:rPr>
        <w:t xml:space="preserve">and </w:t>
      </w:r>
      <w:r w:rsidR="00962C2C" w:rsidRPr="001D4118">
        <w:rPr>
          <w:color w:val="252525"/>
        </w:rPr>
        <w:t xml:space="preserve">that </w:t>
      </w:r>
      <w:r w:rsidR="004E212B" w:rsidRPr="001D4118">
        <w:rPr>
          <w:color w:val="252525"/>
        </w:rPr>
        <w:t>consent should be</w:t>
      </w:r>
      <w:r w:rsidR="006E459D" w:rsidRPr="001D4118">
        <w:rPr>
          <w:color w:val="252525"/>
        </w:rPr>
        <w:t xml:space="preserve"> indicated </w:t>
      </w:r>
      <w:r w:rsidR="0099029B" w:rsidRPr="001D4118">
        <w:rPr>
          <w:color w:val="252525"/>
        </w:rPr>
        <w:t>on</w:t>
      </w:r>
      <w:r w:rsidR="00504942" w:rsidRPr="001D4118">
        <w:rPr>
          <w:color w:val="252525"/>
        </w:rPr>
        <w:t xml:space="preserve"> </w:t>
      </w:r>
      <w:r w:rsidR="004A5ACD" w:rsidRPr="001D4118">
        <w:rPr>
          <w:color w:val="252525"/>
        </w:rPr>
        <w:t xml:space="preserve">each </w:t>
      </w:r>
      <w:r w:rsidR="0099029B" w:rsidRPr="001D4118">
        <w:rPr>
          <w:color w:val="252525"/>
        </w:rPr>
        <w:t xml:space="preserve">gift tax return (or returns) </w:t>
      </w:r>
      <w:r w:rsidR="00C47565" w:rsidRPr="001D4118">
        <w:rPr>
          <w:color w:val="252525"/>
        </w:rPr>
        <w:t xml:space="preserve">that </w:t>
      </w:r>
      <w:r w:rsidR="00B5522A" w:rsidRPr="001D4118">
        <w:rPr>
          <w:color w:val="252525"/>
        </w:rPr>
        <w:t>each spouse files</w:t>
      </w:r>
      <w:r w:rsidR="0099029B" w:rsidRPr="001D4118">
        <w:rPr>
          <w:color w:val="252525"/>
        </w:rPr>
        <w:t xml:space="preserve">. </w:t>
      </w:r>
    </w:p>
    <w:p w14:paraId="4433AF9D" w14:textId="1A7224F3" w:rsidR="0099029B" w:rsidRPr="001D4118" w:rsidRDefault="00E711D8" w:rsidP="0099029B">
      <w:pPr>
        <w:pStyle w:val="NormalWeb"/>
        <w:spacing w:before="264" w:beforeAutospacing="0" w:after="264" w:afterAutospacing="0"/>
        <w:rPr>
          <w:color w:val="252525"/>
        </w:rPr>
      </w:pPr>
      <w:r w:rsidRPr="001D4118">
        <w:rPr>
          <w:color w:val="252525"/>
        </w:rPr>
        <w:t xml:space="preserve">Have you made gifts </w:t>
      </w:r>
      <w:r w:rsidR="00F72826" w:rsidRPr="001D4118">
        <w:rPr>
          <w:color w:val="252525"/>
        </w:rPr>
        <w:t xml:space="preserve">to one individual that </w:t>
      </w:r>
      <w:r w:rsidR="00137DC2" w:rsidRPr="001D4118">
        <w:rPr>
          <w:color w:val="252525"/>
        </w:rPr>
        <w:t>exceed</w:t>
      </w:r>
      <w:r w:rsidRPr="001D4118">
        <w:rPr>
          <w:color w:val="252525"/>
        </w:rPr>
        <w:t xml:space="preserve"> $16,000 </w:t>
      </w:r>
      <w:r w:rsidR="0064641A" w:rsidRPr="001D4118">
        <w:rPr>
          <w:color w:val="252525"/>
        </w:rPr>
        <w:t>within a</w:t>
      </w:r>
      <w:r w:rsidR="009934EC" w:rsidRPr="001D4118">
        <w:rPr>
          <w:color w:val="252525"/>
        </w:rPr>
        <w:t xml:space="preserve"> year?  If so, we can prepare a gift tax return (or returns) for you. </w:t>
      </w:r>
      <w:r w:rsidR="0064641A" w:rsidRPr="001D4118">
        <w:rPr>
          <w:color w:val="252525"/>
        </w:rPr>
        <w:t xml:space="preserve"> </w:t>
      </w:r>
    </w:p>
    <w:p w14:paraId="12A79CE8" w14:textId="77777777" w:rsidR="009F766C" w:rsidRPr="001D4118" w:rsidRDefault="009F766C" w:rsidP="0099029B">
      <w:pPr>
        <w:pStyle w:val="NormalWeb"/>
        <w:spacing w:before="264" w:beforeAutospacing="0" w:after="264" w:afterAutospacing="0"/>
        <w:rPr>
          <w:rStyle w:val="c-doc-para-bold"/>
          <w:b/>
          <w:bCs/>
          <w:color w:val="252525"/>
        </w:rPr>
      </w:pPr>
      <w:r w:rsidRPr="001D4118">
        <w:rPr>
          <w:rStyle w:val="c-doc-para-bold"/>
          <w:b/>
          <w:bCs/>
          <w:color w:val="252525"/>
        </w:rPr>
        <w:t xml:space="preserve">Sidebar:  </w:t>
      </w:r>
    </w:p>
    <w:p w14:paraId="2B762551" w14:textId="3ACAD705" w:rsidR="00C47565" w:rsidRPr="001D4118" w:rsidRDefault="0099029B" w:rsidP="0099029B">
      <w:pPr>
        <w:pStyle w:val="NormalWeb"/>
        <w:spacing w:before="264" w:beforeAutospacing="0" w:after="264" w:afterAutospacing="0"/>
        <w:rPr>
          <w:color w:val="252525"/>
        </w:rPr>
      </w:pPr>
      <w:r w:rsidRPr="001D4118">
        <w:rPr>
          <w:rStyle w:val="c-doc-para-bold"/>
          <w:b/>
          <w:bCs/>
          <w:color w:val="252525"/>
        </w:rPr>
        <w:t>“Unified” credit for taxable gifts</w:t>
      </w:r>
      <w:r w:rsidRPr="001D4118">
        <w:rPr>
          <w:color w:val="252525"/>
        </w:rPr>
        <w:t> </w:t>
      </w:r>
    </w:p>
    <w:p w14:paraId="0111EA11" w14:textId="6C000FE3" w:rsidR="0099029B" w:rsidRPr="001D4118" w:rsidRDefault="00105EC7" w:rsidP="0099029B">
      <w:pPr>
        <w:pStyle w:val="NormalWeb"/>
        <w:spacing w:before="264" w:beforeAutospacing="0" w:after="264" w:afterAutospacing="0"/>
        <w:rPr>
          <w:color w:val="252525"/>
        </w:rPr>
      </w:pPr>
      <w:r w:rsidRPr="001D4118">
        <w:rPr>
          <w:color w:val="252525"/>
        </w:rPr>
        <w:t xml:space="preserve">Gifts that are taxable because they aren’t covered by the </w:t>
      </w:r>
      <w:r w:rsidR="00B5522A" w:rsidRPr="001D4118">
        <w:rPr>
          <w:color w:val="252525"/>
        </w:rPr>
        <w:t xml:space="preserve">annual </w:t>
      </w:r>
      <w:r w:rsidRPr="001D4118">
        <w:rPr>
          <w:color w:val="252525"/>
        </w:rPr>
        <w:t>exclusion may still not result in a tax liability.</w:t>
      </w:r>
      <w:r w:rsidR="00264C80" w:rsidRPr="001D4118">
        <w:rPr>
          <w:color w:val="252525"/>
        </w:rPr>
        <w:t xml:space="preserve"> </w:t>
      </w:r>
      <w:r w:rsidR="0099029B" w:rsidRPr="001D4118">
        <w:rPr>
          <w:color w:val="252525"/>
        </w:rPr>
        <w:t>This is because a tax credit wipes out the federal gift tax liability on the first taxable gifts that you make in your lifetime, up to $1</w:t>
      </w:r>
      <w:r w:rsidR="00805337" w:rsidRPr="001D4118">
        <w:rPr>
          <w:color w:val="252525"/>
        </w:rPr>
        <w:t>2</w:t>
      </w:r>
      <w:r w:rsidR="00D450F0" w:rsidRPr="001D4118">
        <w:rPr>
          <w:color w:val="252525"/>
        </w:rPr>
        <w:t>.</w:t>
      </w:r>
      <w:r w:rsidR="00805337" w:rsidRPr="001D4118">
        <w:rPr>
          <w:color w:val="252525"/>
        </w:rPr>
        <w:t>06</w:t>
      </w:r>
      <w:r w:rsidR="00D450F0" w:rsidRPr="001D4118">
        <w:rPr>
          <w:color w:val="252525"/>
        </w:rPr>
        <w:t xml:space="preserve"> million</w:t>
      </w:r>
      <w:r w:rsidR="0099029B" w:rsidRPr="001D4118">
        <w:rPr>
          <w:color w:val="252525"/>
        </w:rPr>
        <w:t xml:space="preserve"> for 202</w:t>
      </w:r>
      <w:r w:rsidR="00805337" w:rsidRPr="001D4118">
        <w:rPr>
          <w:color w:val="252525"/>
        </w:rPr>
        <w:t>2</w:t>
      </w:r>
      <w:r w:rsidR="0099029B" w:rsidRPr="001D4118">
        <w:rPr>
          <w:color w:val="252525"/>
        </w:rPr>
        <w:t xml:space="preserve">. </w:t>
      </w:r>
      <w:r w:rsidR="006B1C39" w:rsidRPr="001D4118">
        <w:rPr>
          <w:color w:val="252525"/>
        </w:rPr>
        <w:t xml:space="preserve"> </w:t>
      </w:r>
      <w:r w:rsidR="000966F9" w:rsidRPr="001D4118">
        <w:rPr>
          <w:color w:val="252525"/>
        </w:rPr>
        <w:t xml:space="preserve">The amount of the credit you </w:t>
      </w:r>
      <w:r w:rsidR="000966F9" w:rsidRPr="001D4118">
        <w:rPr>
          <w:color w:val="252525"/>
        </w:rPr>
        <w:lastRenderedPageBreak/>
        <w:t xml:space="preserve">use against a tax liability </w:t>
      </w:r>
      <w:r w:rsidR="00071202" w:rsidRPr="001D4118">
        <w:rPr>
          <w:color w:val="252525"/>
        </w:rPr>
        <w:t xml:space="preserve">reduces or eliminates the credit available for use against the federal estate tax upon your death. </w:t>
      </w:r>
      <w:r w:rsidR="008F7D6E" w:rsidRPr="001D4118">
        <w:rPr>
          <w:color w:val="252525"/>
        </w:rPr>
        <w:t xml:space="preserve"> </w:t>
      </w:r>
    </w:p>
    <w:p w14:paraId="1546D77B" w14:textId="3BC92C06" w:rsidR="009F64B3" w:rsidRPr="001D4118" w:rsidRDefault="008554BD">
      <w:pPr>
        <w:rPr>
          <w:rFonts w:ascii="Times New Roman" w:hAnsi="Times New Roman" w:cs="Times New Roman"/>
          <w:sz w:val="24"/>
          <w:szCs w:val="24"/>
        </w:rPr>
      </w:pPr>
      <w:r w:rsidRPr="001D4118">
        <w:rPr>
          <w:rFonts w:ascii="Times New Roman" w:hAnsi="Times New Roman" w:cs="Times New Roman"/>
          <w:sz w:val="24"/>
          <w:szCs w:val="24"/>
        </w:rPr>
        <w:t>Gifts made</w:t>
      </w:r>
      <w:r w:rsidR="00C47565" w:rsidRPr="001D4118">
        <w:rPr>
          <w:rFonts w:ascii="Times New Roman" w:hAnsi="Times New Roman" w:cs="Times New Roman"/>
          <w:sz w:val="24"/>
          <w:szCs w:val="24"/>
        </w:rPr>
        <w:t xml:space="preserve"> directly to </w:t>
      </w:r>
      <w:r w:rsidR="00AA61A3" w:rsidRPr="001D4118">
        <w:rPr>
          <w:rFonts w:ascii="Times New Roman" w:hAnsi="Times New Roman" w:cs="Times New Roman"/>
          <w:sz w:val="24"/>
          <w:szCs w:val="24"/>
        </w:rPr>
        <w:t xml:space="preserve">an </w:t>
      </w:r>
      <w:r w:rsidR="00946106" w:rsidRPr="001D4118">
        <w:rPr>
          <w:rFonts w:ascii="Times New Roman" w:hAnsi="Times New Roman" w:cs="Times New Roman"/>
          <w:sz w:val="24"/>
          <w:szCs w:val="24"/>
        </w:rPr>
        <w:t>educational</w:t>
      </w:r>
      <w:r w:rsidR="00C47565" w:rsidRPr="001D4118">
        <w:rPr>
          <w:rFonts w:ascii="Times New Roman" w:hAnsi="Times New Roman" w:cs="Times New Roman"/>
          <w:sz w:val="24"/>
          <w:szCs w:val="24"/>
        </w:rPr>
        <w:t xml:space="preserve"> institution to pay tuition or to a health care provider to pay for medical expenses on behalf of someone else do </w:t>
      </w:r>
      <w:r w:rsidR="00C47565" w:rsidRPr="00F03DAD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="00C47565" w:rsidRPr="001D4118">
        <w:rPr>
          <w:rFonts w:ascii="Times New Roman" w:hAnsi="Times New Roman" w:cs="Times New Roman"/>
          <w:sz w:val="24"/>
          <w:szCs w:val="24"/>
        </w:rPr>
        <w:t xml:space="preserve"> count towards the exclusion. </w:t>
      </w:r>
      <w:r w:rsidR="00444951" w:rsidRPr="001D4118">
        <w:rPr>
          <w:rFonts w:ascii="Times New Roman" w:hAnsi="Times New Roman" w:cs="Times New Roman"/>
          <w:sz w:val="24"/>
          <w:szCs w:val="24"/>
        </w:rPr>
        <w:t>For</w:t>
      </w:r>
      <w:r w:rsidR="00375A69" w:rsidRPr="001D4118">
        <w:rPr>
          <w:rFonts w:ascii="Times New Roman" w:hAnsi="Times New Roman" w:cs="Times New Roman"/>
          <w:sz w:val="24"/>
          <w:szCs w:val="24"/>
        </w:rPr>
        <w:t xml:space="preserve"> example</w:t>
      </w:r>
      <w:r w:rsidR="00C47565" w:rsidRPr="001D4118">
        <w:rPr>
          <w:rFonts w:ascii="Times New Roman" w:hAnsi="Times New Roman" w:cs="Times New Roman"/>
          <w:sz w:val="24"/>
          <w:szCs w:val="24"/>
        </w:rPr>
        <w:t xml:space="preserve">, you can pay $20,000 </w:t>
      </w:r>
      <w:r w:rsidR="002D2782" w:rsidRPr="001D4118">
        <w:rPr>
          <w:rFonts w:ascii="Times New Roman" w:hAnsi="Times New Roman" w:cs="Times New Roman"/>
          <w:sz w:val="24"/>
          <w:szCs w:val="24"/>
        </w:rPr>
        <w:t xml:space="preserve">directly </w:t>
      </w:r>
      <w:r w:rsidR="00C47565" w:rsidRPr="001D4118">
        <w:rPr>
          <w:rFonts w:ascii="Times New Roman" w:hAnsi="Times New Roman" w:cs="Times New Roman"/>
          <w:sz w:val="24"/>
          <w:szCs w:val="24"/>
        </w:rPr>
        <w:t>to your grandson</w:t>
      </w:r>
      <w:r w:rsidR="006F6A74" w:rsidRPr="001D4118">
        <w:rPr>
          <w:rFonts w:ascii="Times New Roman" w:hAnsi="Times New Roman" w:cs="Times New Roman"/>
          <w:sz w:val="24"/>
          <w:szCs w:val="24"/>
        </w:rPr>
        <w:t>’</w:t>
      </w:r>
      <w:r w:rsidR="00C47565" w:rsidRPr="001D4118">
        <w:rPr>
          <w:rFonts w:ascii="Times New Roman" w:hAnsi="Times New Roman" w:cs="Times New Roman"/>
          <w:sz w:val="24"/>
          <w:szCs w:val="24"/>
        </w:rPr>
        <w:t>s college for his tuition this year, plus still give him</w:t>
      </w:r>
      <w:r w:rsidR="0040623F" w:rsidRPr="001D4118">
        <w:rPr>
          <w:rFonts w:ascii="Times New Roman" w:hAnsi="Times New Roman" w:cs="Times New Roman"/>
          <w:sz w:val="24"/>
          <w:szCs w:val="24"/>
        </w:rPr>
        <w:t xml:space="preserve"> a </w:t>
      </w:r>
      <w:r w:rsidR="00FF6062" w:rsidRPr="001D4118">
        <w:rPr>
          <w:rFonts w:ascii="Times New Roman" w:hAnsi="Times New Roman" w:cs="Times New Roman"/>
          <w:sz w:val="24"/>
          <w:szCs w:val="24"/>
        </w:rPr>
        <w:t xml:space="preserve">direct </w:t>
      </w:r>
      <w:r w:rsidR="002D2782" w:rsidRPr="001D4118">
        <w:rPr>
          <w:rFonts w:ascii="Times New Roman" w:hAnsi="Times New Roman" w:cs="Times New Roman"/>
          <w:sz w:val="24"/>
          <w:szCs w:val="24"/>
        </w:rPr>
        <w:t xml:space="preserve">cash </w:t>
      </w:r>
      <w:r w:rsidR="0040623F" w:rsidRPr="001D4118">
        <w:rPr>
          <w:rFonts w:ascii="Times New Roman" w:hAnsi="Times New Roman" w:cs="Times New Roman"/>
          <w:sz w:val="24"/>
          <w:szCs w:val="24"/>
        </w:rPr>
        <w:t>gift of</w:t>
      </w:r>
      <w:r w:rsidR="00C47565" w:rsidRPr="001D4118">
        <w:rPr>
          <w:rFonts w:ascii="Times New Roman" w:hAnsi="Times New Roman" w:cs="Times New Roman"/>
          <w:sz w:val="24"/>
          <w:szCs w:val="24"/>
        </w:rPr>
        <w:t xml:space="preserve"> up to $1</w:t>
      </w:r>
      <w:r w:rsidRPr="001D4118">
        <w:rPr>
          <w:rFonts w:ascii="Times New Roman" w:hAnsi="Times New Roman" w:cs="Times New Roman"/>
          <w:sz w:val="24"/>
          <w:szCs w:val="24"/>
        </w:rPr>
        <w:t>6</w:t>
      </w:r>
      <w:r w:rsidR="00C47565" w:rsidRPr="001D4118">
        <w:rPr>
          <w:rFonts w:ascii="Times New Roman" w:hAnsi="Times New Roman" w:cs="Times New Roman"/>
          <w:sz w:val="24"/>
          <w:szCs w:val="24"/>
        </w:rPr>
        <w:t>,000</w:t>
      </w:r>
      <w:r w:rsidR="0040623F" w:rsidRPr="001D4118">
        <w:rPr>
          <w:rFonts w:ascii="Times New Roman" w:hAnsi="Times New Roman" w:cs="Times New Roman"/>
          <w:sz w:val="24"/>
          <w:szCs w:val="24"/>
        </w:rPr>
        <w:t>.</w:t>
      </w:r>
    </w:p>
    <w:p w14:paraId="091E0E8F" w14:textId="481B61CE" w:rsidR="00C47565" w:rsidRPr="001D4118" w:rsidRDefault="00C47565">
      <w:pPr>
        <w:rPr>
          <w:rFonts w:ascii="Times New Roman" w:hAnsi="Times New Roman" w:cs="Times New Roman"/>
          <w:sz w:val="24"/>
          <w:szCs w:val="24"/>
        </w:rPr>
      </w:pPr>
      <w:r w:rsidRPr="001D4118">
        <w:rPr>
          <w:rFonts w:ascii="Times New Roman" w:hAnsi="Times New Roman" w:cs="Times New Roman"/>
          <w:sz w:val="24"/>
          <w:szCs w:val="24"/>
        </w:rPr>
        <w:t xml:space="preserve">Annual gifts reduce the taxable value of your estate. </w:t>
      </w:r>
      <w:bookmarkStart w:id="0" w:name="_Hlk81472822"/>
      <w:r w:rsidR="005C2912" w:rsidRPr="001D4118">
        <w:rPr>
          <w:rFonts w:ascii="Times New Roman" w:hAnsi="Times New Roman" w:cs="Times New Roman"/>
          <w:sz w:val="24"/>
          <w:szCs w:val="24"/>
        </w:rPr>
        <w:t xml:space="preserve">While the </w:t>
      </w:r>
      <w:r w:rsidR="008F23B7" w:rsidRPr="001D4118">
        <w:rPr>
          <w:rFonts w:ascii="Times New Roman" w:hAnsi="Times New Roman" w:cs="Times New Roman"/>
          <w:sz w:val="24"/>
          <w:szCs w:val="24"/>
        </w:rPr>
        <w:t>estate and gift e</w:t>
      </w:r>
      <w:r w:rsidR="00B36138" w:rsidRPr="001D4118">
        <w:rPr>
          <w:rFonts w:ascii="Times New Roman" w:hAnsi="Times New Roman" w:cs="Times New Roman"/>
          <w:sz w:val="24"/>
          <w:szCs w:val="24"/>
        </w:rPr>
        <w:t xml:space="preserve">xemption amount </w:t>
      </w:r>
      <w:proofErr w:type="gramStart"/>
      <w:r w:rsidR="006F6A74" w:rsidRPr="001D411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7709E2" w:rsidRPr="001D4118">
        <w:rPr>
          <w:rFonts w:ascii="Times New Roman" w:hAnsi="Times New Roman" w:cs="Times New Roman"/>
          <w:sz w:val="24"/>
          <w:szCs w:val="24"/>
        </w:rPr>
        <w:t xml:space="preserve"> </w:t>
      </w:r>
      <w:r w:rsidR="005C2912" w:rsidRPr="001D4118">
        <w:rPr>
          <w:rFonts w:ascii="Times New Roman" w:hAnsi="Times New Roman" w:cs="Times New Roman"/>
          <w:sz w:val="24"/>
          <w:szCs w:val="24"/>
        </w:rPr>
        <w:t>historically high right now, it</w:t>
      </w:r>
      <w:r w:rsidR="007709E2" w:rsidRPr="001D4118">
        <w:rPr>
          <w:rFonts w:ascii="Times New Roman" w:hAnsi="Times New Roman" w:cs="Times New Roman"/>
          <w:sz w:val="24"/>
          <w:szCs w:val="24"/>
        </w:rPr>
        <w:t>’</w:t>
      </w:r>
      <w:r w:rsidR="008F23B7" w:rsidRPr="001D4118">
        <w:rPr>
          <w:rFonts w:ascii="Times New Roman" w:hAnsi="Times New Roman" w:cs="Times New Roman"/>
          <w:sz w:val="24"/>
          <w:szCs w:val="24"/>
        </w:rPr>
        <w:t>s</w:t>
      </w:r>
      <w:r w:rsidR="00B36138" w:rsidRPr="001D4118">
        <w:rPr>
          <w:rFonts w:ascii="Times New Roman" w:hAnsi="Times New Roman" w:cs="Times New Roman"/>
          <w:sz w:val="24"/>
          <w:szCs w:val="24"/>
        </w:rPr>
        <w:t xml:space="preserve"> scheduled</w:t>
      </w:r>
      <w:r w:rsidR="00B03F97" w:rsidRPr="001D4118">
        <w:rPr>
          <w:rFonts w:ascii="Times New Roman" w:hAnsi="Times New Roman" w:cs="Times New Roman"/>
          <w:sz w:val="24"/>
          <w:szCs w:val="24"/>
        </w:rPr>
        <w:t xml:space="preserve"> to</w:t>
      </w:r>
      <w:r w:rsidR="00B36138" w:rsidRPr="001D4118">
        <w:rPr>
          <w:rFonts w:ascii="Times New Roman" w:hAnsi="Times New Roman" w:cs="Times New Roman"/>
          <w:sz w:val="24"/>
          <w:szCs w:val="24"/>
        </w:rPr>
        <w:t xml:space="preserve"> </w:t>
      </w:r>
      <w:r w:rsidR="007F36A9" w:rsidRPr="001D4118">
        <w:rPr>
          <w:rFonts w:ascii="Times New Roman" w:hAnsi="Times New Roman" w:cs="Times New Roman"/>
          <w:sz w:val="24"/>
          <w:szCs w:val="24"/>
        </w:rPr>
        <w:t xml:space="preserve">fall </w:t>
      </w:r>
      <w:r w:rsidR="005C2912" w:rsidRPr="001D4118">
        <w:rPr>
          <w:rFonts w:ascii="Times New Roman" w:hAnsi="Times New Roman" w:cs="Times New Roman"/>
          <w:sz w:val="24"/>
          <w:szCs w:val="24"/>
        </w:rPr>
        <w:t xml:space="preserve">in 2026 </w:t>
      </w:r>
      <w:r w:rsidR="007F36A9" w:rsidRPr="001D4118">
        <w:rPr>
          <w:rFonts w:ascii="Times New Roman" w:hAnsi="Times New Roman" w:cs="Times New Roman"/>
          <w:sz w:val="24"/>
          <w:szCs w:val="24"/>
        </w:rPr>
        <w:t>to around $8 million, depending on inflation</w:t>
      </w:r>
      <w:r w:rsidR="00B36138" w:rsidRPr="001D4118">
        <w:rPr>
          <w:rFonts w:ascii="Times New Roman" w:hAnsi="Times New Roman" w:cs="Times New Roman"/>
          <w:sz w:val="24"/>
          <w:szCs w:val="24"/>
        </w:rPr>
        <w:t xml:space="preserve">. </w:t>
      </w:r>
      <w:r w:rsidR="00681D8A" w:rsidRPr="001D4118">
        <w:rPr>
          <w:rFonts w:ascii="Times New Roman" w:hAnsi="Times New Roman" w:cs="Times New Roman"/>
          <w:sz w:val="24"/>
          <w:szCs w:val="24"/>
        </w:rPr>
        <w:t>Congress could act to extend it or could make other changes to estate tax laws.</w:t>
      </w:r>
      <w:r w:rsidR="00681D8A" w:rsidRPr="00FB0DFB">
        <w:rPr>
          <w:rFonts w:ascii="Times New Roman" w:hAnsi="Times New Roman" w:cs="Times New Roman"/>
          <w:sz w:val="20"/>
          <w:szCs w:val="20"/>
        </w:rPr>
        <w:t xml:space="preserve"> </w:t>
      </w:r>
      <w:r w:rsidRPr="001D4118">
        <w:rPr>
          <w:rFonts w:ascii="Times New Roman" w:hAnsi="Times New Roman" w:cs="Times New Roman"/>
          <w:sz w:val="24"/>
          <w:szCs w:val="24"/>
        </w:rPr>
        <w:t>Making large tax-free gifts</w:t>
      </w:r>
      <w:r w:rsidR="00FA1394" w:rsidRPr="001D4118">
        <w:rPr>
          <w:rFonts w:ascii="Times New Roman" w:hAnsi="Times New Roman" w:cs="Times New Roman"/>
          <w:sz w:val="24"/>
          <w:szCs w:val="24"/>
        </w:rPr>
        <w:t xml:space="preserve"> could</w:t>
      </w:r>
      <w:r w:rsidRPr="001D4118">
        <w:rPr>
          <w:rFonts w:ascii="Times New Roman" w:hAnsi="Times New Roman" w:cs="Times New Roman"/>
          <w:sz w:val="24"/>
          <w:szCs w:val="24"/>
        </w:rPr>
        <w:t xml:space="preserve"> help insulate you against any later reduction in the unified federal estate and gift tax exemption.</w:t>
      </w:r>
    </w:p>
    <w:bookmarkEnd w:id="0"/>
    <w:p w14:paraId="5EBA658E" w14:textId="77777777" w:rsidR="00A95838" w:rsidRPr="00554775" w:rsidRDefault="006025FD" w:rsidP="00A95838">
      <w:pPr>
        <w:tabs>
          <w:tab w:val="center" w:pos="4680"/>
        </w:tabs>
        <w:spacing w:before="240" w:after="240" w:line="240" w:lineRule="auto"/>
        <w:rPr>
          <w:rFonts w:ascii="Palatino" w:eastAsia="Times New Roman" w:hAnsi="Palatino" w:cs="Palatino"/>
          <w:sz w:val="24"/>
          <w:szCs w:val="24"/>
        </w:rPr>
      </w:pPr>
      <w:r w:rsidRPr="001D4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838">
        <w:rPr>
          <w:rStyle w:val="Emphasis"/>
        </w:rPr>
        <w:t xml:space="preserve"> </w:t>
      </w:r>
      <w:r w:rsidR="00A95838">
        <w:t xml:space="preserve"> </w:t>
      </w:r>
      <w:r w:rsidR="00A95838" w:rsidRPr="0055477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© </w:t>
      </w:r>
      <w:r w:rsidR="00A95838" w:rsidRPr="0055477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2022</w:t>
      </w:r>
    </w:p>
    <w:p w14:paraId="425C7B33" w14:textId="2FD6DC3E" w:rsidR="00D53FB0" w:rsidRPr="001D4118" w:rsidRDefault="00D53FB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3FB0" w:rsidRPr="001D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9B"/>
    <w:rsid w:val="00004613"/>
    <w:rsid w:val="00014DC7"/>
    <w:rsid w:val="000329F3"/>
    <w:rsid w:val="0004453C"/>
    <w:rsid w:val="000678AE"/>
    <w:rsid w:val="00070046"/>
    <w:rsid w:val="00071202"/>
    <w:rsid w:val="00094497"/>
    <w:rsid w:val="000966F9"/>
    <w:rsid w:val="000B276A"/>
    <w:rsid w:val="00105EC7"/>
    <w:rsid w:val="00111018"/>
    <w:rsid w:val="00137DC2"/>
    <w:rsid w:val="00157887"/>
    <w:rsid w:val="00160F7B"/>
    <w:rsid w:val="001A581C"/>
    <w:rsid w:val="001B4ED5"/>
    <w:rsid w:val="001C3EE1"/>
    <w:rsid w:val="001D4118"/>
    <w:rsid w:val="001D4964"/>
    <w:rsid w:val="00205D1B"/>
    <w:rsid w:val="0021701F"/>
    <w:rsid w:val="00230B53"/>
    <w:rsid w:val="00230E5B"/>
    <w:rsid w:val="0024574A"/>
    <w:rsid w:val="002510AA"/>
    <w:rsid w:val="0025172B"/>
    <w:rsid w:val="00252DAB"/>
    <w:rsid w:val="00264C80"/>
    <w:rsid w:val="00274F2D"/>
    <w:rsid w:val="0027642D"/>
    <w:rsid w:val="00286E1A"/>
    <w:rsid w:val="0029072D"/>
    <w:rsid w:val="002A5C31"/>
    <w:rsid w:val="002B1EC7"/>
    <w:rsid w:val="002D2782"/>
    <w:rsid w:val="002D46E2"/>
    <w:rsid w:val="002F2FBF"/>
    <w:rsid w:val="002F6146"/>
    <w:rsid w:val="003073D6"/>
    <w:rsid w:val="00321006"/>
    <w:rsid w:val="00321C6E"/>
    <w:rsid w:val="0033433A"/>
    <w:rsid w:val="00334642"/>
    <w:rsid w:val="0035473A"/>
    <w:rsid w:val="00355794"/>
    <w:rsid w:val="00357805"/>
    <w:rsid w:val="00362808"/>
    <w:rsid w:val="003643ED"/>
    <w:rsid w:val="00375A69"/>
    <w:rsid w:val="003A748A"/>
    <w:rsid w:val="0040623F"/>
    <w:rsid w:val="00425B48"/>
    <w:rsid w:val="00443A29"/>
    <w:rsid w:val="00444951"/>
    <w:rsid w:val="00471B92"/>
    <w:rsid w:val="004813F5"/>
    <w:rsid w:val="004A22BE"/>
    <w:rsid w:val="004A5ACD"/>
    <w:rsid w:val="004B5F81"/>
    <w:rsid w:val="004E212B"/>
    <w:rsid w:val="004E268A"/>
    <w:rsid w:val="00501F50"/>
    <w:rsid w:val="00503891"/>
    <w:rsid w:val="00504942"/>
    <w:rsid w:val="00505F1E"/>
    <w:rsid w:val="005249F4"/>
    <w:rsid w:val="00535BD9"/>
    <w:rsid w:val="005531FA"/>
    <w:rsid w:val="00565E50"/>
    <w:rsid w:val="005B4BE9"/>
    <w:rsid w:val="005C2912"/>
    <w:rsid w:val="006025FD"/>
    <w:rsid w:val="0062335A"/>
    <w:rsid w:val="00631527"/>
    <w:rsid w:val="00641D7E"/>
    <w:rsid w:val="0064641A"/>
    <w:rsid w:val="00646774"/>
    <w:rsid w:val="0065607D"/>
    <w:rsid w:val="006641BF"/>
    <w:rsid w:val="00680D7C"/>
    <w:rsid w:val="00681D8A"/>
    <w:rsid w:val="00682C72"/>
    <w:rsid w:val="006908F4"/>
    <w:rsid w:val="006920E2"/>
    <w:rsid w:val="006B1C39"/>
    <w:rsid w:val="006E459D"/>
    <w:rsid w:val="006E4833"/>
    <w:rsid w:val="006F0CB6"/>
    <w:rsid w:val="006F6A74"/>
    <w:rsid w:val="00705523"/>
    <w:rsid w:val="00721827"/>
    <w:rsid w:val="00723FC9"/>
    <w:rsid w:val="00740034"/>
    <w:rsid w:val="007709E2"/>
    <w:rsid w:val="007A0E28"/>
    <w:rsid w:val="007D2E09"/>
    <w:rsid w:val="007E778F"/>
    <w:rsid w:val="007F36A9"/>
    <w:rsid w:val="007F5AFE"/>
    <w:rsid w:val="00805337"/>
    <w:rsid w:val="00817FF1"/>
    <w:rsid w:val="00834A99"/>
    <w:rsid w:val="00855139"/>
    <w:rsid w:val="008554BD"/>
    <w:rsid w:val="00860DBD"/>
    <w:rsid w:val="00895E67"/>
    <w:rsid w:val="008A5276"/>
    <w:rsid w:val="008D2D31"/>
    <w:rsid w:val="008F23B7"/>
    <w:rsid w:val="008F7D6E"/>
    <w:rsid w:val="009138B1"/>
    <w:rsid w:val="00946106"/>
    <w:rsid w:val="00962C2C"/>
    <w:rsid w:val="009805D4"/>
    <w:rsid w:val="0099029B"/>
    <w:rsid w:val="009934EC"/>
    <w:rsid w:val="009C59FC"/>
    <w:rsid w:val="009D7911"/>
    <w:rsid w:val="009E5C27"/>
    <w:rsid w:val="009E6077"/>
    <w:rsid w:val="009F2179"/>
    <w:rsid w:val="009F64B3"/>
    <w:rsid w:val="009F766C"/>
    <w:rsid w:val="00A849AF"/>
    <w:rsid w:val="00A87786"/>
    <w:rsid w:val="00A95838"/>
    <w:rsid w:val="00AA61A3"/>
    <w:rsid w:val="00AE4982"/>
    <w:rsid w:val="00B008E0"/>
    <w:rsid w:val="00B03F97"/>
    <w:rsid w:val="00B3094A"/>
    <w:rsid w:val="00B36138"/>
    <w:rsid w:val="00B5522A"/>
    <w:rsid w:val="00B82E6D"/>
    <w:rsid w:val="00BA0F97"/>
    <w:rsid w:val="00BA2390"/>
    <w:rsid w:val="00BC2411"/>
    <w:rsid w:val="00C25A3E"/>
    <w:rsid w:val="00C412B1"/>
    <w:rsid w:val="00C47565"/>
    <w:rsid w:val="00C51EF7"/>
    <w:rsid w:val="00C557FC"/>
    <w:rsid w:val="00C558F5"/>
    <w:rsid w:val="00C65F2E"/>
    <w:rsid w:val="00C8571B"/>
    <w:rsid w:val="00C939C6"/>
    <w:rsid w:val="00CB712D"/>
    <w:rsid w:val="00CD047C"/>
    <w:rsid w:val="00CE3C0E"/>
    <w:rsid w:val="00CF3D1E"/>
    <w:rsid w:val="00D003C8"/>
    <w:rsid w:val="00D16074"/>
    <w:rsid w:val="00D450F0"/>
    <w:rsid w:val="00D53FB0"/>
    <w:rsid w:val="00D72D7E"/>
    <w:rsid w:val="00D95291"/>
    <w:rsid w:val="00DB45F9"/>
    <w:rsid w:val="00DF0F17"/>
    <w:rsid w:val="00E02A29"/>
    <w:rsid w:val="00E03042"/>
    <w:rsid w:val="00E521B1"/>
    <w:rsid w:val="00E711D8"/>
    <w:rsid w:val="00E81E5D"/>
    <w:rsid w:val="00E96693"/>
    <w:rsid w:val="00E96FF8"/>
    <w:rsid w:val="00EB19F4"/>
    <w:rsid w:val="00EB4B91"/>
    <w:rsid w:val="00EF29D0"/>
    <w:rsid w:val="00EF4314"/>
    <w:rsid w:val="00F03DAD"/>
    <w:rsid w:val="00F2283B"/>
    <w:rsid w:val="00F3071C"/>
    <w:rsid w:val="00F402D9"/>
    <w:rsid w:val="00F57FD1"/>
    <w:rsid w:val="00F72826"/>
    <w:rsid w:val="00F72ABF"/>
    <w:rsid w:val="00FA1394"/>
    <w:rsid w:val="00FB0DFB"/>
    <w:rsid w:val="00FC0262"/>
    <w:rsid w:val="00FD37D0"/>
    <w:rsid w:val="00FE5162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103B"/>
  <w15:chartTrackingRefBased/>
  <w15:docId w15:val="{13D75C9F-7A78-41F3-8146-FFFBDDDC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doc-para-italic">
    <w:name w:val="c-doc-para-italic"/>
    <w:basedOn w:val="DefaultParagraphFont"/>
    <w:rsid w:val="0099029B"/>
  </w:style>
  <w:style w:type="character" w:customStyle="1" w:styleId="c-doc-para-bold">
    <w:name w:val="c-doc-para-bold"/>
    <w:basedOn w:val="DefaultParagraphFont"/>
    <w:rsid w:val="0099029B"/>
  </w:style>
  <w:style w:type="character" w:styleId="Hyperlink">
    <w:name w:val="Hyperlink"/>
    <w:basedOn w:val="DefaultParagraphFont"/>
    <w:uiPriority w:val="99"/>
    <w:unhideWhenUsed/>
    <w:rsid w:val="009902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41D7E"/>
    <w:rPr>
      <w:b/>
      <w:bCs/>
    </w:rPr>
  </w:style>
  <w:style w:type="character" w:styleId="Emphasis">
    <w:name w:val="Emphasis"/>
    <w:basedOn w:val="DefaultParagraphFont"/>
    <w:uiPriority w:val="20"/>
    <w:qFormat/>
    <w:rsid w:val="00252DA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53F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5A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0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0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Props1.xml><?xml version="1.0" encoding="utf-8"?>
<ds:datastoreItem xmlns:ds="http://schemas.openxmlformats.org/officeDocument/2006/customXml" ds:itemID="{AAD51150-C3DD-4E24-8A2E-701A5666F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03125-73DE-4C94-A03A-29916554B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D193F6-EF46-49B3-A252-240639A621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Marquez, Antonio (TR Product)</cp:lastModifiedBy>
  <cp:revision>5</cp:revision>
  <dcterms:created xsi:type="dcterms:W3CDTF">2022-09-16T16:45:00Z</dcterms:created>
  <dcterms:modified xsi:type="dcterms:W3CDTF">2022-10-06T16:16:00Z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